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постанови КМУ від 11.10.2016 № 710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5"/>
          <w:lang w:val="uk-UA" w:eastAsia="zh-CN" w:bidi="ar-SA"/>
        </w:rPr>
        <w:t xml:space="preserve">ДК 021:2015 </w:t>
      </w:r>
      <w:r>
        <w:rPr>
          <w:rStyle w:val="Style15"/>
          <w:lang w:val="en-US" w:eastAsia="zh-CN" w:bidi="ar-SA"/>
        </w:rPr>
        <w:t xml:space="preserve">98370000-7 </w:t>
      </w:r>
      <w:r>
        <w:rPr>
          <w:rStyle w:val="Style15"/>
          <w:lang w:val="uk-UA" w:eastAsia="zh-CN" w:bidi="ar-SA"/>
        </w:rPr>
        <w:t>Поховальні та супутні послуги</w:t>
      </w:r>
      <w:r>
        <w:rPr/>
        <w:t>.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UA-2023-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12</w:t>
      </w:r>
      <w:r>
        <w:rPr>
          <w:sz w:val="22"/>
          <w:szCs w:val="22"/>
          <w:lang w:val="en-US"/>
        </w:rPr>
        <w:t>-1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2405</w:t>
      </w:r>
      <w:r>
        <w:rPr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 xml:space="preserve">2 500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 000 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Style w:val="2"/>
          <w:rFonts w:eastAsia="Times New Roman"/>
          <w:b w:val="false"/>
          <w:bCs w:val="false"/>
          <w:iCs/>
          <w:sz w:val="22"/>
          <w:szCs w:val="22"/>
        </w:rPr>
        <w:t>До складу послуги входить*:</w:t>
      </w:r>
    </w:p>
    <w:tbl>
      <w:tblPr>
        <w:tblW w:w="9750" w:type="dxa"/>
        <w:jc w:val="left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6300"/>
        <w:gridCol w:w="1896"/>
      </w:tblGrid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jc w:val="center"/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№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Послуга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Об’єм</w:t>
            </w:r>
          </w:p>
        </w:tc>
      </w:tr>
      <w:tr>
        <w:trPr/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Прибирання кладовищ Новий Побут та Горова Білещина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3360</w:t>
            </w:r>
            <w:r>
              <w:rPr>
                <w:sz w:val="22"/>
                <w:szCs w:val="22"/>
              </w:rPr>
              <w:t xml:space="preserve">  год.</w:t>
            </w:r>
          </w:p>
        </w:tc>
      </w:tr>
      <w:tr>
        <w:trPr/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Вивіз сміття з кладовищ: Новий Побут, Горова Білещина, Сорочинське 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2100</w:t>
            </w:r>
            <w:r>
              <w:rPr>
                <w:sz w:val="22"/>
                <w:szCs w:val="22"/>
              </w:rPr>
              <w:t xml:space="preserve">  куб.м.</w:t>
            </w:r>
          </w:p>
        </w:tc>
      </w:tr>
      <w:tr>
        <w:trPr/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Механі</w:t>
            </w:r>
            <w:r>
              <w:rPr>
                <w:rFonts w:eastAsia="Calibri"/>
                <w:sz w:val="22"/>
                <w:szCs w:val="22"/>
                <w:lang w:eastAsia="ar-SA"/>
              </w:rPr>
              <w:t>зоване</w:t>
            </w:r>
            <w:r>
              <w:rPr>
                <w:sz w:val="22"/>
                <w:szCs w:val="22"/>
              </w:rPr>
              <w:t xml:space="preserve"> навантаження сміття (на кладовищах Новий Побут, Горова Білещина, Сорочинське)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2100</w:t>
            </w:r>
            <w:r>
              <w:rPr>
                <w:sz w:val="22"/>
                <w:szCs w:val="22"/>
              </w:rPr>
              <w:t xml:space="preserve">  куб.м.</w:t>
            </w:r>
          </w:p>
        </w:tc>
      </w:tr>
      <w:tr>
        <w:trPr/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Механізоване</w:t>
            </w:r>
            <w:r>
              <w:rPr>
                <w:color w:val="FF66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розчищення від снігу території кладовищ 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60</w:t>
            </w:r>
            <w:r>
              <w:rPr>
                <w:sz w:val="22"/>
                <w:szCs w:val="22"/>
              </w:rPr>
              <w:t xml:space="preserve">  год.</w:t>
            </w:r>
          </w:p>
        </w:tc>
      </w:tr>
      <w:tr>
        <w:trPr/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/>
              <w:t>Сторожова охорона кладовища Г.Білещина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/>
              <w:t>3964 год.</w:t>
            </w:r>
          </w:p>
        </w:tc>
      </w:tr>
      <w:tr>
        <w:trPr/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Поховання самотніх та невпізнаних 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</w:rPr>
              <w:t xml:space="preserve">  чол.</w:t>
            </w:r>
          </w:p>
        </w:tc>
      </w:tr>
      <w:tr>
        <w:trPr/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Перевезення трупів самотніх та невпізнаних громадян до моргу за замовленням поліції: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ab/>
              <w:t xml:space="preserve">- в робочий час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ab/>
              <w:t xml:space="preserve">- в позаурочний час 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</w:r>
          </w:p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</w:rPr>
              <w:t xml:space="preserve">  години;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</w:rPr>
              <w:t xml:space="preserve">  години.</w:t>
            </w:r>
          </w:p>
        </w:tc>
      </w:tr>
      <w:tr>
        <w:trPr/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Поховання загиблих через агресію рф</w:t>
            </w:r>
            <w:r>
              <w:rPr>
                <w:color w:val="C9211E"/>
                <w:sz w:val="22"/>
                <w:szCs w:val="22"/>
              </w:rPr>
              <w:t>**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33 чол.</w:t>
            </w:r>
          </w:p>
        </w:tc>
      </w:tr>
      <w:tr>
        <w:trPr/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Перевезення тіл загиблих в місто Прилуки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 w:val="false"/>
              <w:tabs>
                <w:tab w:val="clear" w:pos="709"/>
              </w:tabs>
              <w:rPr>
                <w:b/>
                <w:b/>
                <w:bC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10000 км</w:t>
            </w:r>
          </w:p>
        </w:tc>
      </w:tr>
    </w:tbl>
    <w:p>
      <w:pPr>
        <w:pStyle w:val="Normal"/>
        <w:widowControl w:val="false"/>
        <w:rPr>
          <w:b/>
          <w:b/>
          <w:bCs/>
        </w:rPr>
      </w:pPr>
      <w:r>
        <w:rPr/>
      </w:r>
    </w:p>
    <w:p>
      <w:pPr>
        <w:pStyle w:val="Normal"/>
        <w:ind w:left="0" w:right="0" w:firstLine="540"/>
        <w:jc w:val="both"/>
        <w:rPr>
          <w:b/>
          <w:b/>
          <w:bCs/>
        </w:rPr>
      </w:pPr>
      <w:r>
        <w:rPr>
          <w:rFonts w:eastAsia="Times New Roman"/>
          <w:color w:val="000000"/>
          <w:sz w:val="22"/>
          <w:szCs w:val="22"/>
        </w:rPr>
        <w:t>Крім того, протягом 20</w:t>
      </w:r>
      <w:r>
        <w:rPr>
          <w:rFonts w:eastAsia="Calibri"/>
          <w:color w:val="000000"/>
          <w:sz w:val="22"/>
          <w:szCs w:val="22"/>
          <w:lang w:eastAsia="ar-SA"/>
        </w:rPr>
        <w:t>24</w:t>
      </w:r>
      <w:r>
        <w:rPr>
          <w:rFonts w:eastAsia="Times New Roman"/>
          <w:color w:val="000000"/>
          <w:sz w:val="22"/>
          <w:szCs w:val="22"/>
        </w:rPr>
        <w:t xml:space="preserve"> року Виконавець повинен за власний рахунок забезпечити технічне обслуговування повітряної лінії електропередач напругою 10 тис. вольт протяжністю 1000 м КТП — 51; 10/04 кВ, технічне обслуговування водяної свердловини та водонапірної башти, які знаходяться на території кладовища Горова Білещина, а також забезпечити сплату за використану електроенергію.</w:t>
      </w:r>
    </w:p>
    <w:p>
      <w:pPr>
        <w:pStyle w:val="12"/>
        <w:spacing w:lineRule="atLeast" w:line="100"/>
        <w:ind w:left="0" w:right="0" w:firstLine="426"/>
        <w:jc w:val="both"/>
        <w:rPr>
          <w:b/>
          <w:b/>
          <w:bCs/>
        </w:rPr>
      </w:pPr>
      <w:r>
        <w:rPr>
          <w:sz w:val="22"/>
          <w:szCs w:val="22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2"/>
        <w:spacing w:lineRule="atLeast" w:line="100"/>
        <w:ind w:left="0" w:right="0" w:firstLine="426"/>
        <w:jc w:val="both"/>
        <w:rPr>
          <w:b/>
          <w:b/>
          <w:bCs/>
        </w:rPr>
      </w:pPr>
      <w:r>
        <w:rPr>
          <w:sz w:val="22"/>
          <w:szCs w:val="22"/>
        </w:rPr>
        <w:tab/>
        <w:t xml:space="preserve">Вартість пропозиції та всі інші ціни повинні бути чітко визначені. </w:t>
      </w:r>
    </w:p>
    <w:p>
      <w:pPr>
        <w:pStyle w:val="12"/>
        <w:spacing w:lineRule="exact" w:line="227"/>
        <w:ind w:left="0" w:right="0" w:firstLine="426"/>
        <w:jc w:val="both"/>
        <w:rPr>
          <w:b/>
          <w:b/>
          <w:bCs/>
        </w:rPr>
      </w:pPr>
      <w:r>
        <w:rPr>
          <w:rStyle w:val="32"/>
          <w:rFonts w:eastAsia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3"/>
        <w:spacing w:lineRule="auto" w:line="240"/>
        <w:ind w:left="34" w:right="113" w:firstLine="426"/>
        <w:jc w:val="both"/>
        <w:rPr>
          <w:b/>
          <w:b/>
          <w:bCs/>
        </w:rPr>
      </w:pPr>
      <w:r>
        <w:rPr>
          <w:szCs w:val="22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3"/>
        <w:spacing w:lineRule="auto" w:line="240"/>
        <w:ind w:left="34" w:right="113" w:firstLine="426"/>
        <w:jc w:val="both"/>
        <w:rPr>
          <w:b/>
          <w:b/>
          <w:bCs/>
        </w:rPr>
      </w:pPr>
      <w:r>
        <w:rPr>
          <w:color w:val="000000"/>
          <w:szCs w:val="22"/>
        </w:rPr>
        <w:tab/>
        <w:t xml:space="preserve">Учасник визначений переможцем процедури закупівлі у строк, що не перевищує чотири дні </w:t>
      </w:r>
      <w:r>
        <w:rPr>
          <w:color w:val="000000"/>
          <w:szCs w:val="22"/>
          <w:shd w:fill="FFFFFF" w:val="clear"/>
          <w:lang w:eastAsia="en-US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ind w:left="0" w:right="0" w:firstLine="540"/>
        <w:jc w:val="both"/>
        <w:rPr>
          <w:b/>
          <w:b/>
          <w:bCs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bCs/>
        </w:rPr>
      </w:pPr>
      <w:r>
        <w:rPr>
          <w:rStyle w:val="32"/>
        </w:rPr>
        <w:tab/>
        <w:t xml:space="preserve">Примітка: </w:t>
      </w:r>
    </w:p>
    <w:p>
      <w:pPr>
        <w:pStyle w:val="Normal"/>
        <w:jc w:val="both"/>
        <w:rPr>
          <w:b/>
          <w:b/>
          <w:bCs/>
        </w:rPr>
      </w:pPr>
      <w:r>
        <w:rPr>
          <w:rStyle w:val="32"/>
        </w:rPr>
        <w:tab/>
        <w:t>*У зв</w:t>
      </w:r>
      <w:r>
        <w:rPr>
          <w:rStyle w:val="32"/>
          <w:lang w:val="ru-RU"/>
        </w:rPr>
        <w:t>'</w:t>
      </w:r>
      <w:r>
        <w:rPr>
          <w:rStyle w:val="32"/>
        </w:rPr>
        <w:t>язку з тим, що практично неможливо передбачити весь комплекс робіт, які можуть виникнути в ході утримання кладовищ, зазначений перелік та обсяги робіт при наданні послуг не є вичерпним та можуть корегуватися в рамках суми укладеного договору.</w:t>
      </w:r>
    </w:p>
    <w:p>
      <w:pPr>
        <w:pStyle w:val="Normal"/>
        <w:tabs>
          <w:tab w:val="clear" w:pos="709"/>
          <w:tab w:val="left" w:pos="2460" w:leader="none"/>
        </w:tabs>
        <w:spacing w:lineRule="exact" w:line="227"/>
        <w:jc w:val="both"/>
        <w:rPr>
          <w:b/>
          <w:b/>
          <w:bCs/>
        </w:rPr>
      </w:pPr>
      <w:r>
        <w:rPr>
          <w:rStyle w:val="32"/>
          <w:rFonts w:eastAsia="Times New Roman"/>
          <w:color w:val="C9211E"/>
          <w:sz w:val="23"/>
          <w:szCs w:val="23"/>
        </w:rPr>
        <w:t xml:space="preserve"> </w:t>
      </w:r>
      <w:r>
        <w:rPr>
          <w:rStyle w:val="32"/>
          <w:rFonts w:eastAsia="Times New Roman"/>
          <w:sz w:val="23"/>
          <w:szCs w:val="23"/>
        </w:rPr>
        <w:t xml:space="preserve">       </w:t>
      </w:r>
      <w:r>
        <w:rPr>
          <w:rStyle w:val="32"/>
          <w:sz w:val="23"/>
          <w:szCs w:val="23"/>
        </w:rPr>
        <w:t>**Здійснення поховання загиблих через агресію рф повинне обов’язково включати в себе: копання могили, послуги катафалка, послуги автобуса, послуги бригади по обслуговування поховання, труну, хрест, вінок, корзину.</w:t>
      </w:r>
    </w:p>
    <w:p>
      <w:pPr>
        <w:pStyle w:val="Normal"/>
        <w:rPr>
          <w:b/>
          <w:b/>
          <w:bCs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Начальник управління житлово-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комунального господарства</w:t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4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6">
    <w:name w:val="Обычный (веб) Знак Знак Знак"/>
    <w:qFormat/>
    <w:rPr>
      <w:sz w:val="24"/>
      <w:lang w:val="uk-UA"/>
    </w:rPr>
  </w:style>
  <w:style w:type="character" w:styleId="Style17">
    <w:name w:val="Текст Знак"/>
    <w:qFormat/>
    <w:rPr>
      <w:rFonts w:eastAsia="Times New Roman"/>
      <w:szCs w:val="22"/>
    </w:rPr>
  </w:style>
  <w:style w:type="character" w:styleId="Style18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19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0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1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2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2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0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6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7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2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3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8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9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5">
    <w:name w:val="Указатель3"/>
    <w:basedOn w:val="Normal"/>
    <w:qFormat/>
    <w:pPr/>
    <w:rPr>
      <w:rFonts w:eastAsia="Mangal"/>
      <w:lang w:eastAsia="ar-SA"/>
    </w:rPr>
  </w:style>
  <w:style w:type="paragraph" w:styleId="Style34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LibreOffice/7.0.4.2$Windows_X86_64 LibreOffice_project/dcf040e67528d9187c66b2379df5ea4407429775</Application>
  <AppVersion>15.0000</AppVersion>
  <Pages>1</Pages>
  <Words>432</Words>
  <Characters>2862</Characters>
  <CharactersWithSpaces>3285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dcterms:modified xsi:type="dcterms:W3CDTF">2023-12-14T15:43:53Z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